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6D01EC" w:rsidRDefault="006D01EC" w14:paraId="67CD76FA" w14:textId="69E0EC82">
      <w:pPr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r w:rsidRPr="006D01EC">
        <w:rPr>
          <w:rFonts w:hint="eastAsia" w:ascii="方正小标宋简体" w:hAnsi="仿宋" w:eastAsia="方正小标宋简体" w:cs="仿宋"/>
          <w:snapToGrid w:val="0"/>
          <w:color w:val="000000"/>
          <w:kern w:val="0"/>
          <w:sz w:val="44"/>
          <w:szCs w:val="44"/>
        </w:rPr>
        <w:t>专业技术工作总结</w:t>
      </w:r>
    </w:p>
    <w:p w:rsidR="00A73DBE" w:rsidRDefault="00A73DBE" w14:paraId="505A4537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0"/>
      <w:r w:rsidRPr="00F5232C" w:rsidR="00A30A5D">
        <w:rPr>
          <w:rFonts w:hint="eastAsia" w:ascii="宋体" w:hAnsi="宋体"/>
          <w:bCs/>
          <w:sz w:val="24"/>
        </w:rPr>
        <w:t xml:space="preserve">曾丽连                  </w:t>
      </w:r>
      <w:bookmarkEnd w:id="0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1"/>
      <w:r w:rsidRPr="00F5232C" w:rsidR="007D6A47">
        <w:rPr>
          <w:rFonts w:hint="eastAsia" w:ascii="宋体" w:hAnsi="宋体"/>
          <w:bCs/>
          <w:sz w:val="24"/>
        </w:rPr>
        <w:t xml:space="preserve">综合研究室</w:t>
      </w:r>
      <w:bookmarkEnd w:id="1"/>
    </w:p>
    <w:p w:rsidRPr="00F5232C" w:rsidR="00A73DBE" w:rsidRDefault="00A73DBE" w14:paraId="321E2B25" w14:textId="77777777">
      <w:pPr>
        <w:spacing w:line="360" w:lineRule="auto"/>
        <w:rPr>
          <w:rFonts w:ascii="宋体" w:hAnsi="宋体"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2"/>
      <w:r w:rsidRPr="00F5232C">
        <w:rPr>
          <w:rFonts w:hint="eastAsia" w:ascii="宋体" w:hAnsi="宋体"/>
          <w:bCs/>
          <w:sz w:val="24"/>
        </w:rPr>
        <w:t xml:space="preserve">助理研究员           </w:t>
      </w:r>
      <w:bookmarkEnd w:id="2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3"/>
      <w:r w:rsidRPr="00F5232C" w:rsidR="007D6A47">
        <w:rPr>
          <w:rFonts w:hint="eastAsia" w:ascii="宋体" w:hAnsi="宋体"/>
          <w:bCs/>
          <w:sz w:val="24"/>
        </w:rPr>
        <w:t xml:space="preserve">医学研究</w:t>
      </w:r>
      <w:bookmarkEnd w:id="3"/>
    </w:p>
    <w:tbl>
      <w:tblPr>
        <w:tblW w:w="9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9108"/>
      </w:tblGrid>
      <w:tr w:rsidR="00A73DBE" w:rsidTr="00B13614" w14:paraId="5CDA765E" w14:textId="77777777">
        <w:trPr>
          <w:trHeight w:val="12038"/>
        </w:trPr>
        <w:tc>
          <w:tcPr>
            <w:tcW w:w="9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5232C" w:rsidR="00F145A5" w:rsidP="007E38F1" w:rsidRDefault="00F145A5" w14:paraId="4A69EDF4" w14:textId="77777777">
            <w:pPr>
              <w:adjustRightInd w:val="0"/>
              <w:spacing w:line="360" w:lineRule="auto"/>
              <w:rPr>
                <w:rFonts w:ascii="宋体" w:hAnsi="宋体"/>
                <w:sz w:val="24"/>
              </w:rPr>
            </w:pPr>
            <w:bookmarkStart w:name="ProAndTechWorkReport__MultiParag" w:id="4"/>
            <w:r>
              <w:t xml:space="preserve">一、基本情况</w:t>
            </w:r>
            <w:r>
              <w:br/>
            </w:r>
            <w:r>
              <w:t xml:space="preserve">本人曾丽连，硕士研究生，2021年4月18日取得中级疾病控制卫生专业技术资格，2020年8月1日至今受聘于广东省公共卫生研究院专业技术十二级岗。</w:t>
            </w:r>
            <w:r>
              <w:br/>
            </w:r>
            <w:r>
              <w:t xml:space="preserve">二、从事专业技术工作及取得业绩成果情况</w:t>
            </w:r>
            <w:r>
              <w:br/>
            </w:r>
            <w:r>
              <w:t xml:space="preserve">参加工作以来，主要从事以下方面研究工作：</w:t>
            </w:r>
            <w:r>
              <w:br/>
            </w:r>
            <w:r>
              <w:t xml:space="preserve">（一）深耕免疫规划疫苗效果评估，为免疫策略提供科学依据</w:t>
            </w:r>
            <w:r>
              <w:br/>
            </w:r>
            <w:r>
              <w:t xml:space="preserve">1.广东省流行性脑脊髓膜炎抗体水平、持久性与疫苗接种的相关性研究。</w:t>
            </w:r>
            <w:r>
              <w:br/>
            </w:r>
            <w:r>
              <w:t xml:space="preserve">通过对全省7,752名调查对象的血清学分析，系统评估了A、C、Y、W血清群脑膜炎球菌疫苗的免疫效果与衰减规律。证实疫苗接种可显著提升各血清群抗体阳性率与几何平均浓度（GMC）。揭示了在&gt;0-5岁及&gt;5-10岁儿童中，Y血清群存在“未接种者抗体阳性率反超接种者”的特殊现象，提示需关注疫苗血清型覆盖与交叉保护问题。明确加强免疫可进一步提升抗体水平，且抗体滴度随接种剂次增加而提升，其中C血清群效果最为显著；通过广义线性模型量化了抗体衰减趋势，为疫苗加强免疫时机提供了数据支持。</w:t>
            </w:r>
            <w:r>
              <w:br/>
            </w:r>
            <w:r>
              <w:t xml:space="preserve">2.人群HPV抗体监测，揭示HPV感染及疫苗接种后人群免疫特征。</w:t>
            </w:r>
            <w:r>
              <w:br/>
            </w:r>
            <w:r>
              <w:t xml:space="preserve">通过大样本血清学调查，揭示了广东省人群HPV自然感染与免疫的年龄、性别与地域特征。完成了湛江、河源、广州三地对比分析，发现河源市总体血清抗体阳性率最高（5.95%），为地区性防控策略制定提供了参考。绘制了人群HPV抗体阳性率随年龄变化的曲线，发现男性在50岁后阳性率维持在4%以上，女性在41-60岁达到峰值（最高11.30%）。</w:t>
            </w:r>
            <w:r>
              <w:br/>
            </w:r>
            <w:r>
              <w:t xml:space="preserve">3.人群腮腺炎的血清学调查，评估其易感性和疫苗接种策略的有效性。</w:t>
            </w:r>
            <w:r>
              <w:br/>
            </w:r>
            <w:r>
              <w:t xml:space="preserve">对5,147人进行血清学调查，评估腮腺炎疫苗的长期保护效果。明确腮腺炎抗体存在自然衰减，接种2剂疫苗者的抗体滴度年下降率（10.33%）高于接种1剂者（2.06%）。依据衰减模型推算，接种2剂疫苗的保护力可能在约12.3年后降至阈值以下，从科学角度提示了成人期进行加强免疫的必要性，对完善全生命周期免疫策略具有重要价值。</w:t>
            </w:r>
            <w:r>
              <w:br/>
            </w:r>
            <w:r>
              <w:t xml:space="preserve">（二）主要参与多项体外诊断试剂临床评估，助力产品上市与应用</w:t>
            </w:r>
            <w:r>
              <w:br/>
            </w:r>
            <w:r>
              <w:t xml:space="preserve">依托单位临床试验机构平台，深度参与超过40项体外诊断试剂的临床评估工作，领域覆盖新型冠状病毒、登革热、流感、猴痘、基孔肯雅热等重要传染病。合作企业包括达安基因、硕世生物、天隆科技等行业领先单位。通过严谨的试验设计与数据分析，为相关试剂的产品注册与上市应用提供了关键的临床有效性证据。此外，参与了安徽智飞重组蛋白疫苗在未成年人中的临床试验项目，为疫苗研发与评价贡献了专业力量。</w:t>
            </w:r>
            <w:r>
              <w:br/>
            </w:r>
            <w:r>
              <w:t xml:space="preserve">（三）突破登革病毒检测关键技术，建立新型检测方法</w:t>
            </w:r>
            <w:r>
              <w:br/>
            </w:r>
            <w:r>
              <w:t xml:space="preserve">独立负责“登革病毒特异性单克隆抗体筛选”项目，取得了从基础研发到方法建立的系统性成果。 利用Beacon单细胞光导平台，成功筛选出针对登革病毒I-IV型NS1蛋白的特异性单克隆抗体237株。通过ELISA实验，从中鉴定出25株具有高特异性、高亲和力的抗体候选株。以此为基础，自主优化反应体系，初步建立了“基于登革病毒NS1抗原的双抗体夹心ELISA检测方法”，为登革热的早期、快速实验室诊断提供了新的潜在工具，展现了独立完成创新性研究的能力。</w:t>
            </w:r>
            <w:r>
              <w:br/>
            </w:r>
            <w:r>
              <w:t xml:space="preserve">（四）拓展研究方向：聚焦病原体流行规律与产学研转化</w:t>
            </w:r>
            <w:r>
              <w:br/>
            </w:r>
            <w:r>
              <w:t xml:space="preserve">主要聚焦我省病原微生物的流行规律以及相关的驱动机制研究，参与产学研工作，例如建立病原微生物预测预警算法、开发试剂盒等。</w:t>
            </w:r>
            <w:r>
              <w:br/>
            </w:r>
            <w:r>
              <w:t xml:space="preserve">（五）主要科研成果</w:t>
            </w:r>
            <w:r>
              <w:br/>
            </w:r>
            <w:r>
              <w:t xml:space="preserve">基于上述专业技术工作，在科研产出方面取得系列成果，具体如下：</w:t>
            </w:r>
            <w:r>
              <w:br/>
            </w:r>
            <w:r>
              <w:t xml:space="preserve">1.学术论文：</w:t>
            </w:r>
            <w:r>
              <w:br/>
            </w:r>
            <w:r>
              <w:t xml:space="preserve">[1]曾丽连; 陆靖; 郑焕英; 宋铁 ; 2014-2017广州市环境污水中轮状病毒和诺如病毒的检测.现代预防医学, 2019, 46(1): 37-39+61 .</w:t>
            </w:r>
            <w:r>
              <w:br/>
            </w:r>
            <w:r>
              <w:t xml:space="preserve">[2]L. Zeng; Y. Deng; C. Liang; Z. Qian; Y. Chen; H. Lin; R.Yuan; P. Zhou; X. Zhuang; Y. Yang; Q. Zhu; L. Sun; J. He; J. Sun; Immunity Dynamics of Neisseria meningitidis Serogroups ACYW from Birth and Following Vaccination. Vaccines, 2024, 12(11): 1274 .</w:t>
            </w:r>
            <w:r>
              <w:br/>
            </w:r>
            <w:r>
              <w:t xml:space="preserve">[3]Qian Z , Chen Y , Zeng L ,et al.Decade-long protection of the mumps vaccine: Insights from a large-scale serological study.PLoS Neglected Tropical Diseases, 2025, 19(6).</w:t>
            </w:r>
            <w:r>
              <w:br/>
            </w:r>
            <w:r>
              <w:t xml:space="preserve">[4]J. Lu; J. Peng; L. Fang; L. Zeng; H. Lin; Q. Xiong; Z. Liu; H. Jiang; C. Zhang; L. Yi; T. Song; C. Ke; C. Li; B. Ke; G. He; G. Zhu; J. He; L. Sun; H. Li; H. Zheng; Capturing noroviruses circulating in the population: sewage surveillance in Guangdong, China (2013–2018). Water Research, 2021, 196: 116990.</w:t>
            </w:r>
            <w:r>
              <w:br/>
            </w:r>
            <w:r>
              <w:t xml:space="preserve">[5]J. Lu; L. Plessis; Z. Liu; V. Hill; M. Kang; H. Lin; J. Sun; S. François; M. Kraemer; N. Faria; J. McCrone; J. Peng; Q. Xiong; R. Yuan; Lilian Zeng; P. Zhou; C. Liang; L. Yi; J. Liu; J. Xiao; J. Hu; T. Liu; W. Ma; W. Li; J. Su; H. Zheng; B. Peng; S. Fang; W. Su; K. Li; R. Sun; R. Bai; X. Tang; M. Liang; J. Quick; T. Song; A. Rambaut; N. Loman; J. Raghwani; O. Pybus; C. Ke; Genomic epidemiology of SARS-CoV-2 in Guangdong Province, China. Cell, 2020: 997-1003.</w:t>
            </w:r>
            <w:r>
              <w:br/>
            </w:r>
            <w:r>
              <w:t xml:space="preserve">[6]J. Sun; J. Xiao; R. Sun; X. Tang; C. Liang; H. Lin; L. Zeng; J. Hu; R. Yuan; P. Zhou; J. Peng; Q. Xiong; F. Cui; Z. Liu; J. Lu; J. Tian; W. Ma; C. Ke; Prolonged persistence of SARS-CoV-2 RNA in body fluids. Emerging infectious diseases, 2020, 26(8): 1834.</w:t>
            </w:r>
            <w:r>
              <w:br/>
            </w:r>
            <w:r>
              <w:t xml:space="preserve">[7]J. Sun, X. Tang, R. Bai, C. Liang, L. Zeng, H. Lin, R. Yuan, P. Zhou, X. Huang, Q. Xiong, J. Peng, F. Cui, B. Ke, J. Su, Z. Liu, J. Lu, J. Tian, R. Sun, C. Ke. The kinetics of viral load and antibodies to SARS-CoV-2. Clinical Microbiology and Infection, 2020, 26(12): e1-e4.</w:t>
            </w:r>
            <w:r>
              <w:br/>
            </w:r>
            <w:r>
              <w:t xml:space="preserve">2. 科研项目：</w:t>
            </w:r>
            <w:r>
              <w:br/>
            </w:r>
            <w:r>
              <w:t xml:space="preserve">[1]广东省卫生健康委员会，青年项目，A2024657，广东省健康人群A、C、Y和W群脑膜炎奈瑟菌抗体水平、持久性与疫苗接种的相关性研究，主持。</w:t>
            </w:r>
            <w:r>
              <w:br/>
            </w:r>
            <w:r>
              <w:t xml:space="preserve">[2]广东省卫生健康委员会，青年项目，A2021340，广州市城市热岛效应的归因死亡风险及其影响因素研究，骨干。</w:t>
            </w:r>
            <w:r>
              <w:br/>
            </w:r>
            <w:r>
              <w:t xml:space="preserve">[3]国家卫生健康委，重大专项，2026ZD01908904，基孔肯雅病毒应急防控产品研发，骨干。</w:t>
            </w:r>
            <w:r>
              <w:br/>
            </w:r>
            <w:r>
              <w:t xml:space="preserve">[4]广东省科学技术厅，重点专项，2022A1111090004，新形势下新冠肺炎暴发疫情的应急防控技术及防控策略研究，骨干。</w:t>
            </w:r>
            <w:r>
              <w:br/>
            </w:r>
            <w:r>
              <w:t xml:space="preserve">[5]中国科协学会服务中心，国家战略专项，基于大人群队列的成人乙型肝炎消除防控技术路线图研究，参与。</w:t>
            </w:r>
            <w:r>
              <w:br/>
            </w:r>
            <w:r>
              <w:t xml:space="preserve">3. 专利和软件著作</w:t>
            </w:r>
            <w:r>
              <w:br/>
            </w:r>
            <w:r>
              <w:t xml:space="preserve">[1] 胡建雄、马文军、曾丽连、何冠豪、刘涛、林自强、敬峰瑞，一种用于环境温湿度精确评估的可穿戴智能胸针（实用新型专利，已授权）。</w:t>
            </w:r>
            <w:r>
              <w:br/>
            </w:r>
            <w:r>
              <w:t xml:space="preserve">[2] 曾丽连、孙九峰、陆靖、肖建鹏，一种基于抗原抗体联合的新发呼吸道传染病病毒智能识别方法（发明专利，已受理）。</w:t>
            </w:r>
            <w:r>
              <w:br/>
            </w:r>
            <w:r>
              <w:t xml:space="preserve">三、专业特长及经验体会</w:t>
            </w:r>
            <w:r>
              <w:br/>
            </w:r>
            <w:r>
              <w:t xml:space="preserve">参加工作以来，我始终践行“以专业支撑业务，以实践锤炼技术”的理念，专注深耕病原微生物研究与统计建模分析两大方向。我深刻认识到，在信息与知识触手可及的时代，真正的专业成长不在于技术的堆砌，而在于使其根植于具体的科学问题与服务公共卫生的实践之中。科学研究必须坚持以应用为导向，只有将所学所研与防控实际紧密结合，才能使技术发挥价值、使研究落到实处，从而真正为公共卫生决策提供科学、有力的依据。传染病与病原微生物的威胁长期而复杂，我坚信，持续深入、立足实际的研究，是筑牢人民健康防线的坚实基础，也是我作为一名公共卫生科研工作者的责任与追求。</w:t>
            </w:r>
            <w:r>
              <w:br/>
            </w:r>
            <w:r>
              <w:t xml:space="preserve">四、下一步工作方向</w:t>
            </w:r>
            <w:r>
              <w:br/>
            </w:r>
            <w:r>
              <w:t xml:space="preserve">工作以来，我一直专注于传染病与病原微生物研究领域，在新冠肺炎疫情等重大公共卫生事件中，也始终投身科研攻关一线，努力以专业所长服务防控需求。展望未来，我将继续扎根这一方向，着力推动多源健康数据与前沿分析技术的融合应用，深化对病原体流行规律、传播机制与跨学科风险研判的研究，致力于构建更具预测力与实操性的评估模型和决策支持工具，为实现更精准、更主动的传染病防控提供持续、坚实的科学支撑。</w:t>
            </w:r>
            <w:bookmarkEnd w:id="4"/>
          </w:p>
        </w:tc>
      </w:tr>
    </w:tbl>
    <w:p w:rsidR="00A73DBE" w:rsidRDefault="00835027" w14:paraId="43FBCDFD" w14:textId="77777777">
      <w:pPr>
        <w:spacing w:line="400" w:lineRule="exact"/>
        <w:ind w:left="-197" w:leftChars="-95" w:hanging="2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Cs w:val="21"/>
        </w:rPr>
        <w:t>注明：此表</w:t>
      </w:r>
      <w:r w:rsidR="00EC7C81">
        <w:rPr>
          <w:rFonts w:hint="eastAsia" w:ascii="仿宋_GB2312" w:eastAsia="仿宋_GB2312"/>
          <w:szCs w:val="21"/>
        </w:rPr>
        <w:t>内容</w:t>
      </w:r>
      <w:r w:rsidRPr="00EC7C81" w:rsidR="00EC7C81">
        <w:rPr>
          <w:rFonts w:hint="eastAsia" w:ascii="仿宋_GB2312" w:eastAsia="仿宋_GB2312"/>
          <w:szCs w:val="21"/>
        </w:rPr>
        <w:t>由申报人在网上申报系统填写保存，由单位生成打印用于公示。</w:t>
      </w:r>
    </w:p>
    <w:sectPr w:rsidR="00A73DBE" w:rsidSect="00BF41BC">
      <w:pgSz w:w="11906" w:h="16838"/>
      <w:pgMar w:top="1440" w:right="1797" w:bottom="567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D3094" w14:textId="77777777" w:rsidR="00FF3353" w:rsidRDefault="00FF3353" w:rsidP="009312A4">
      <w:r>
        <w:separator/>
      </w:r>
    </w:p>
  </w:endnote>
  <w:endnote w:type="continuationSeparator" w:id="0">
    <w:p w14:paraId="3EB1E775" w14:textId="77777777" w:rsidR="00FF3353" w:rsidRDefault="00FF3353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C1C8F2" w14:textId="77777777" w:rsidR="00FF3353" w:rsidRDefault="00FF3353" w:rsidP="009312A4">
      <w:r>
        <w:separator/>
      </w:r>
    </w:p>
  </w:footnote>
  <w:footnote w:type="continuationSeparator" w:id="0">
    <w:p w14:paraId="6A202EA7" w14:textId="77777777" w:rsidR="00FF3353" w:rsidRDefault="00FF3353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3JLvjHJj/VQPH16f85+v8qYNmlMx7x9Ztgm07vv6Enhz4obW1moItlWXmuWi8/AEOXw8kPN+eTaKqfDRiIpSsw==" w:salt="DvVzHFSXh1cCZQ3ZPcP0Ew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34F10"/>
    <w:rsid w:val="000935A9"/>
    <w:rsid w:val="000A6FE9"/>
    <w:rsid w:val="00172A27"/>
    <w:rsid w:val="001D312D"/>
    <w:rsid w:val="00242CA0"/>
    <w:rsid w:val="0025519E"/>
    <w:rsid w:val="002A160C"/>
    <w:rsid w:val="003379F5"/>
    <w:rsid w:val="003949F1"/>
    <w:rsid w:val="003C5111"/>
    <w:rsid w:val="005C7A10"/>
    <w:rsid w:val="0060341E"/>
    <w:rsid w:val="00687112"/>
    <w:rsid w:val="00692F96"/>
    <w:rsid w:val="006D01EC"/>
    <w:rsid w:val="00743BE7"/>
    <w:rsid w:val="007A0DFE"/>
    <w:rsid w:val="007B432B"/>
    <w:rsid w:val="007D6A47"/>
    <w:rsid w:val="007E1C7B"/>
    <w:rsid w:val="007E2818"/>
    <w:rsid w:val="007E38F1"/>
    <w:rsid w:val="00835027"/>
    <w:rsid w:val="009312A4"/>
    <w:rsid w:val="009B0494"/>
    <w:rsid w:val="00A30A5D"/>
    <w:rsid w:val="00A314AA"/>
    <w:rsid w:val="00A73DBE"/>
    <w:rsid w:val="00A904F4"/>
    <w:rsid w:val="00B13614"/>
    <w:rsid w:val="00BF41BC"/>
    <w:rsid w:val="00BF5D34"/>
    <w:rsid w:val="00C53752"/>
    <w:rsid w:val="00CA613E"/>
    <w:rsid w:val="00CE6A0B"/>
    <w:rsid w:val="00DF2C2F"/>
    <w:rsid w:val="00E04AE5"/>
    <w:rsid w:val="00E72E11"/>
    <w:rsid w:val="00EB7F18"/>
    <w:rsid w:val="00EC7C81"/>
    <w:rsid w:val="00EF2E37"/>
    <w:rsid w:val="00F010D1"/>
    <w:rsid w:val="00F145A5"/>
    <w:rsid w:val="00F216CB"/>
    <w:rsid w:val="00F5232C"/>
    <w:rsid w:val="00FF3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54D4676F"/>
  <w15:docId w15:val="{CDA7BD41-B66C-4702-BE5D-513299958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18</Words>
  <Characters>104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19</cp:revision>
  <cp:lastPrinted>2015-08-11T07:49:00Z</cp:lastPrinted>
  <dcterms:created xsi:type="dcterms:W3CDTF">2017-08-01T09:30:00Z</dcterms:created>
  <dcterms:modified xsi:type="dcterms:W3CDTF">2022-04-15T08:13:00Z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